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5"/>
          <w:lang w:val="en-US" w:eastAsia="zh-CN" w:bidi="ar"/>
        </w:rPr>
        <w:t>附件3：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2023年女职工先进个人名额分配表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（截止2023.12）</w:t>
      </w:r>
    </w:p>
    <w:tbl>
      <w:tblPr>
        <w:tblStyle w:val="3"/>
        <w:tblW w:w="8724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092"/>
        <w:gridCol w:w="1704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女职工人数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女职工先进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机关党委一分工会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机关党委二分工会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精神卫生学院分工会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医学信息工程学院分工会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法医学与医学检验学院分工会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日照校区机关分工会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后勤管理处分工会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生物科学学院分工会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医药工程学院分工会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304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WNhNDcxYjliMDM3ZmQzY2MyYzYyYWUwZGQyOTkifQ=="/>
  </w:docVars>
  <w:rsids>
    <w:rsidRoot w:val="3907765C"/>
    <w:rsid w:val="390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character" w:customStyle="1" w:styleId="5">
    <w:name w:val="font1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2023-12-22T09:30:00Z</dcterms:created>
  <dc:creator>陈井婷</dc:creator>
  <cp:lastModifiedBy>陈井婷</cp:lastModifiedBy>
  <dcterms:modified xsi:type="dcterms:W3CDTF">2023-12-22T09:33:08Z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E364AA2770DE4447B473635BA88F4576_11</vt:lpwstr>
  </property>
</Properties>
</file>