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F914">
      <w:pPr>
        <w:spacing w:line="500" w:lineRule="exact"/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 xml:space="preserve">附件1：  </w:t>
      </w:r>
    </w:p>
    <w:p w14:paraId="4F734784">
      <w:pPr>
        <w:spacing w:line="720" w:lineRule="auto"/>
        <w:jc w:val="center"/>
        <w:rPr>
          <w:rFonts w:ascii="方正小标宋简体" w:hAnsi="宋体" w:eastAsia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济宁医学院分工会工作成绩量化考核表（试行）</w:t>
      </w:r>
      <w:bookmarkStart w:id="0" w:name="_GoBack"/>
      <w:bookmarkEnd w:id="0"/>
    </w:p>
    <w:p w14:paraId="0B0596A6">
      <w:pPr>
        <w:spacing w:line="500" w:lineRule="exact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分工会（盖章）：            主席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签字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 xml:space="preserve">自评分：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 xml:space="preserve"> 审定分：</w:t>
      </w:r>
    </w:p>
    <w:tbl>
      <w:tblPr>
        <w:tblStyle w:val="14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92"/>
        <w:gridCol w:w="5519"/>
        <w:gridCol w:w="663"/>
        <w:gridCol w:w="4431"/>
        <w:gridCol w:w="1149"/>
        <w:gridCol w:w="1223"/>
      </w:tblGrid>
      <w:tr w14:paraId="78F8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  <w:tblHeader/>
          <w:jc w:val="center"/>
        </w:trPr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36E">
            <w:pPr>
              <w:spacing w:line="1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考 核 项 目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178B">
            <w:pPr>
              <w:spacing w:line="1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考  核  内  容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8163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标准</w:t>
            </w:r>
          </w:p>
          <w:p w14:paraId="45E7996C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3EFD">
            <w:pPr>
              <w:spacing w:line="1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具体活动事项说明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EDB8">
            <w:pPr>
              <w:spacing w:line="1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自查得分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F705">
            <w:pPr>
              <w:spacing w:line="1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审定分数</w:t>
            </w:r>
          </w:p>
        </w:tc>
      </w:tr>
      <w:tr w14:paraId="6682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  <w:tblHeader/>
          <w:jc w:val="center"/>
        </w:trPr>
        <w:tc>
          <w:tcPr>
            <w:tcW w:w="7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5A4BA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理论建设</w:t>
            </w:r>
          </w:p>
          <w:p w14:paraId="62FABD12">
            <w:pPr>
              <w:spacing w:line="140" w:lineRule="atLeast"/>
              <w:jc w:val="center"/>
              <w:rPr>
                <w:rFonts w:ascii="仿宋_GB2312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BA8B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自觉接受党的领导，党政工关系协调。工作有计划、有总结。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6E62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14A5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年初无工作计划，年终无工作总结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各扣1分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2FD7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662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764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8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6FD22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C843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建立并坚持学习制度，认真组织会员学习工会各项政策、法规、规章制度。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EB3E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71D8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未按要求组织学习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153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5103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147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5B48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1D6A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掌握和了解教职工思想动态，及时调解矛盾。干群关系融洽，无违法乱纪和受处分的人员。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7F00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8E65"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调解工作不及时，在教职工中造成不良影响的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违法乱纪、受到党纪政纪处分的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27DD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CDB2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3F8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9" w:hRule="atLeast"/>
          <w:tblHeader/>
          <w:jc w:val="center"/>
        </w:trPr>
        <w:tc>
          <w:tcPr>
            <w:tcW w:w="75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76A63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组织建设</w:t>
            </w:r>
          </w:p>
          <w:p w14:paraId="7E9D8BFA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DA81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单位党政领导重视支持工会工作，积极参加工会活动，将工会工作纳入本单位整体工作规划，工会重要活动列入党政议事日程。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BE2F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3A57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党政无研究工会工作会议记录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党政领导不参加工会活动的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6AA">
            <w:pPr>
              <w:spacing w:line="140" w:lineRule="atLeast"/>
              <w:jc w:val="center"/>
              <w:rPr>
                <w:rFonts w:ascii="宋体"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5786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8C8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9A431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D38C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分工会组织健全，分工会委员会按照民主程序产生，委员分工明确，重视发挥分工会作用。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E46C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4848"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未按民主程序选举分工会主席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委员的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BB36">
            <w:pPr>
              <w:spacing w:line="140" w:lineRule="atLeast"/>
              <w:jc w:val="center"/>
              <w:rPr>
                <w:rFonts w:ascii="宋体"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B57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820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2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F04E5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56A8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分工会工作制度健全，活动开展正常，档案资料齐全。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48FD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767E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档案不齐全或不规范的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扣1分。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6F68">
            <w:pPr>
              <w:spacing w:line="140" w:lineRule="atLeast"/>
              <w:jc w:val="center"/>
              <w:rPr>
                <w:rFonts w:ascii="宋体"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605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D38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D8C4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FB51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分工会经费执行学校预算、决算、资产管理、财务管理等制度，使用合理、规范。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B699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FC42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经费使用不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合理、不规范不得分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3533">
            <w:pPr>
              <w:spacing w:line="140" w:lineRule="atLeast"/>
              <w:jc w:val="center"/>
              <w:rPr>
                <w:rFonts w:ascii="宋体" w:eastAsia="仿宋_GB2312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159B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3A36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8" w:hRule="atLeast"/>
          <w:tblHeader/>
          <w:jc w:val="center"/>
        </w:trPr>
        <w:tc>
          <w:tcPr>
            <w:tcW w:w="75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3CE9D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民主管理</w:t>
            </w:r>
          </w:p>
          <w:p w14:paraId="2B5E75E9">
            <w:pPr>
              <w:spacing w:line="14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5E18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建立二级教代会制度，定期召开二级教代会，重大事项、关系到群众切身利益的决策提交教代会审议通过。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1A12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814D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未按要求召开二级教代会的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E65B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D30F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6B3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688AE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DF03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积极组织本分工会代表参加学校教代会，教职工民主参与、民主监督意识强，每年提交有质量的教代会提案至少一件。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4288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96CF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未提交教代会提案的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扣3分。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8981">
            <w:pPr>
              <w:spacing w:line="140" w:lineRule="atLeast"/>
              <w:jc w:val="center"/>
              <w:rPr>
                <w:rFonts w:hint="eastAsia" w:ascii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99A1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465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8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CA4BC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74EA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积极推进院务、党务、政务公开，涉及教职工切身利益的重大事项及有关内容向教职工公开，充分发扬民主。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E890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AC4A"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教职工对本单位院务、政务公开、满意率低于80％的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C2F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EA06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AF9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33891">
            <w:pPr>
              <w:spacing w:line="500" w:lineRule="exac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维护权益</w:t>
            </w:r>
          </w:p>
          <w:p w14:paraId="57148830">
            <w:pPr>
              <w:spacing w:line="500" w:lineRule="exac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（25分）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B783"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落实“六必访”制度，及时掌握教职工的家庭生活情况，“送温暖”工作及时到位。关心单身青年教师婚恋、生活问题，积极开展和组织参加青年联谊活动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.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9EDA">
            <w:pPr>
              <w:snapToGrid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C854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未按要求组织开展“六必访”活动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即会员结婚、生育、退休退岗、生病住院、直系亲属去世、困难职工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必访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F061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B3C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3EB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B0341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80F6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维护女职工特殊权益，关心女职工生活，支持女教职工三八节开展特色活动。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EFC5">
            <w:pPr>
              <w:snapToGrid w:val="0"/>
              <w:spacing w:line="3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AAA5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维护女教职工权益不力的扣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分；未按学校要求组织开展特色活动的扣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254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6D68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08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956E4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EB20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计生新政策宣传、服务到位，按时统计上报计生信息。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37C8">
            <w:pPr>
              <w:snapToGrid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780F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违反计划生育政策，受到党纪政纪处分的取消申报资格。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DAAC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0114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37A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9E247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开展活动</w:t>
            </w:r>
          </w:p>
          <w:p w14:paraId="5F23CED3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（40分）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894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配合学校开展“三全育人”和师德建设教育月活动，结合分工会特点自行开展各类师德师风活动，有计划、有总结、有报道。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6AA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B26F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未按要求组织参加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相应活动，扣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分;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分工会未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开展师德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师风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扣5分。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2DEA">
            <w:pPr>
              <w:jc w:val="left"/>
              <w:rPr>
                <w:rFonts w:ascii="仿宋_GB2312" w:hAnsi="宋体"/>
                <w:color w:val="auto"/>
                <w:szCs w:val="21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246A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08D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8B7A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92F4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认真完成校工会交办的工作任务，积极协助或主动承办校工会各类活动。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2751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6BDC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承办学校文体活动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扣5分；未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完成校工会交办的单项工作任务的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扣5分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5E5">
            <w:pPr>
              <w:jc w:val="left"/>
              <w:rPr>
                <w:rFonts w:ascii="仿宋_GB2312" w:hAnsi="宋体"/>
                <w:color w:val="auto"/>
                <w:szCs w:val="21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DE2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35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2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4F8E9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7D88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积极组织参加校工会举办的各类文体、协会、讲座、论坛等活动，参与面广，党政领导及工会干部带头参加，成绩突出。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C5B8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60CF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每项活动取得名次的，一、二、三等奖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各得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3、2、1分。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F7A1">
            <w:pPr>
              <w:jc w:val="left"/>
              <w:rPr>
                <w:rFonts w:ascii="仿宋_GB2312" w:hAnsi="宋体"/>
                <w:color w:val="auto"/>
                <w:szCs w:val="21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ACFB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EBA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0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650E4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2FBF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结合分工会的特点组织开展有益于教职工身心健康的活动，形成分工会专项特色活动，各分工会也可根据情况联合组织。活动项目有特色、有创新性和推广价值，活动有规划、有总结、有宣传报道。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8F4D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1793">
            <w:pPr>
              <w:snapToGrid w:val="0"/>
              <w:spacing w:line="300" w:lineRule="atLeast"/>
              <w:jc w:val="lef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未组织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开展文体活动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的不得分；组织开展1次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专项特色活动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得2分（有活动方案、新闻报道）。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EA28">
            <w:pPr>
              <w:jc w:val="left"/>
              <w:rPr>
                <w:rFonts w:ascii="仿宋_GB2312" w:hAnsi="宋体"/>
                <w:color w:val="auto"/>
                <w:szCs w:val="21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A20E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976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750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8FA6C">
            <w:pPr>
              <w:spacing w:line="140" w:lineRule="atLeast"/>
              <w:jc w:val="center"/>
              <w:rPr>
                <w:rFonts w:ascii="仿宋_GB2312" w:hAnsi="华文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华文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特色亮点</w:t>
            </w:r>
          </w:p>
          <w:p w14:paraId="6A40F548">
            <w:pPr>
              <w:spacing w:line="14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(最高10分)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499">
            <w:pPr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1.教代会提案立案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B1B19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highlight w:val="none"/>
              </w:rPr>
              <w:t>10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A426D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立案1项1分。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068B">
            <w:pPr>
              <w:jc w:val="left"/>
              <w:rPr>
                <w:rFonts w:ascii="仿宋_GB2312" w:hAnsi="宋体"/>
                <w:color w:val="auto"/>
                <w:szCs w:val="21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E168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852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96738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3350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2.积极总结本分会特色工作，上报新闻稿件，做好宣传工作。</w:t>
            </w:r>
          </w:p>
        </w:tc>
        <w:tc>
          <w:tcPr>
            <w:tcW w:w="2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8F768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760FC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宣传报道被校工会采纳1分/次，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级媒体采纳2分/次。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75D7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F1DA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BA1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F1892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9954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3.获得上级工会或妇联系统先进集体表彰。</w:t>
            </w:r>
          </w:p>
        </w:tc>
        <w:tc>
          <w:tcPr>
            <w:tcW w:w="2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49E76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0F2CC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国家级5分，省级3分，市级1分。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06E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E517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7C7A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7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6B455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5A23">
            <w:pPr>
              <w:snapToGrid w:val="0"/>
              <w:spacing w:line="300" w:lineRule="atLeast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4.代表学校参加上级工会系统组织的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文体等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活动获奖。</w:t>
            </w:r>
          </w:p>
        </w:tc>
        <w:tc>
          <w:tcPr>
            <w:tcW w:w="2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C659A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BD45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国家级5、4、3分，省级4、3、2分，市级3、2、1分。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275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FFA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8C2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2" w:hRule="atLeast"/>
          <w:tblHeader/>
          <w:jc w:val="center"/>
        </w:trPr>
        <w:tc>
          <w:tcPr>
            <w:tcW w:w="7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DB5F3">
            <w:pPr>
              <w:spacing w:line="140" w:lineRule="atLeast"/>
              <w:jc w:val="center"/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负面</w:t>
            </w:r>
            <w:r>
              <w:rPr>
                <w:rFonts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清单</w:t>
            </w: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1B40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1.分工会会员在党风廉政建设、安全稳定、应急管理、师德师风、财务收支、计划生育等方面发生问题或产生负面影响事件的；</w:t>
            </w:r>
          </w:p>
          <w:p w14:paraId="29B9A170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2.分工会落实学校党委、校工会妇委会工作部署不力，存在未按要求承办学校文体活动、组织分工会开展特色文体活动等情况的；</w:t>
            </w:r>
          </w:p>
          <w:p w14:paraId="3BD5F952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3.分工会在重大职工群体性事件处理不当对工会形象造成严重影响的。</w:t>
            </w:r>
          </w:p>
          <w:p w14:paraId="416670F5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4.未提交分工会年度工作计划、工作总结。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9BE0">
            <w:pPr>
              <w:snapToGrid w:val="0"/>
              <w:spacing w:line="300" w:lineRule="atLeas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EE59">
            <w:pPr>
              <w:snapToGrid w:val="0"/>
              <w:spacing w:line="300" w:lineRule="atLeas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出现上述情况之一的不能评为优秀。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9591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EAB6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1D0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tblHeader/>
          <w:jc w:val="center"/>
        </w:trPr>
        <w:tc>
          <w:tcPr>
            <w:tcW w:w="7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7526A">
            <w:pPr>
              <w:spacing w:line="14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color w:val="auto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42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356F">
            <w:pPr>
              <w:spacing w:line="140" w:lineRule="atLeast"/>
              <w:jc w:val="left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3"/>
                <w:highlight w:val="none"/>
              </w:rPr>
              <w:t>累计加分或扣分不能超过考核内容本项标准分值。</w:t>
            </w:r>
          </w:p>
        </w:tc>
      </w:tr>
      <w:tr w14:paraId="68E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4223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96167">
            <w:pPr>
              <w:spacing w:line="140" w:lineRule="atLeast"/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highlight w:val="none"/>
              </w:rPr>
              <w:t>合  计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9010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13F9">
            <w:pPr>
              <w:spacing w:line="140" w:lineRule="atLeast"/>
              <w:jc w:val="center"/>
              <w:rPr>
                <w:rFonts w:ascii="宋体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7A118C99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290B">
    <w:pPr>
      <w:pStyle w:val="8"/>
      <w:ind w:left="52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5CD0F32E">
    <w:pPr>
      <w:pStyle w:val="8"/>
      <w:ind w:left="52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78D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0E0A53"/>
    <w:rsid w:val="000E7845"/>
    <w:rsid w:val="001B3AB3"/>
    <w:rsid w:val="001D7B29"/>
    <w:rsid w:val="0029138F"/>
    <w:rsid w:val="002D475A"/>
    <w:rsid w:val="00354D31"/>
    <w:rsid w:val="00373252"/>
    <w:rsid w:val="00376296"/>
    <w:rsid w:val="003C550F"/>
    <w:rsid w:val="005055FD"/>
    <w:rsid w:val="005132CB"/>
    <w:rsid w:val="0055546B"/>
    <w:rsid w:val="00625B3F"/>
    <w:rsid w:val="006B7F85"/>
    <w:rsid w:val="00743F3D"/>
    <w:rsid w:val="007B58CC"/>
    <w:rsid w:val="00892F5C"/>
    <w:rsid w:val="00A24DBE"/>
    <w:rsid w:val="00AF3F24"/>
    <w:rsid w:val="00BD6B79"/>
    <w:rsid w:val="00CA31B8"/>
    <w:rsid w:val="00CE0744"/>
    <w:rsid w:val="00CF3FA8"/>
    <w:rsid w:val="00D42323"/>
    <w:rsid w:val="00D835E7"/>
    <w:rsid w:val="00DA7F78"/>
    <w:rsid w:val="00E56D5F"/>
    <w:rsid w:val="00F658C0"/>
    <w:rsid w:val="00FA6813"/>
    <w:rsid w:val="00FF75FD"/>
    <w:rsid w:val="06C732E6"/>
    <w:rsid w:val="08A46F1A"/>
    <w:rsid w:val="0B3123AC"/>
    <w:rsid w:val="0C5947CB"/>
    <w:rsid w:val="0D1558FA"/>
    <w:rsid w:val="0D9C65B9"/>
    <w:rsid w:val="104314CD"/>
    <w:rsid w:val="14B27FD5"/>
    <w:rsid w:val="18F64369"/>
    <w:rsid w:val="1ACC54B1"/>
    <w:rsid w:val="1FE14F51"/>
    <w:rsid w:val="22720422"/>
    <w:rsid w:val="27376CBA"/>
    <w:rsid w:val="341E6EF1"/>
    <w:rsid w:val="396C2B2D"/>
    <w:rsid w:val="3A4B439C"/>
    <w:rsid w:val="40A134F4"/>
    <w:rsid w:val="4E1A4EAE"/>
    <w:rsid w:val="514E0CDB"/>
    <w:rsid w:val="536777D9"/>
    <w:rsid w:val="65B50AE7"/>
    <w:rsid w:val="6AFD0A11"/>
    <w:rsid w:val="743A30CF"/>
    <w:rsid w:val="7B16214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Calibri" w:hAnsi="Calibri"/>
      <w:kern w:val="0"/>
    </w:rPr>
  </w:style>
  <w:style w:type="paragraph" w:styleId="7">
    <w:name w:val="Body Text First Indent"/>
    <w:basedOn w:val="4"/>
    <w:autoRedefine/>
    <w:qFormat/>
    <w:uiPriority w:val="0"/>
    <w:pPr>
      <w:ind w:firstLine="100" w:firstLineChars="1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3"/>
    <w:qFormat/>
    <w:uiPriority w:val="0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customStyle="1" w:styleId="13">
    <w:name w:val="Default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15"/>
    <w:basedOn w:val="15"/>
    <w:qFormat/>
    <w:uiPriority w:val="0"/>
  </w:style>
  <w:style w:type="paragraph" w:customStyle="1" w:styleId="1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01"/>
    <w:basedOn w:val="15"/>
    <w:autoRedefine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25">
    <w:name w:val="font41"/>
    <w:basedOn w:val="15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7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3782</Words>
  <Characters>3866</Characters>
  <Lines>38</Lines>
  <Paragraphs>10</Paragraphs>
  <TotalTime>22</TotalTime>
  <ScaleCrop>false</ScaleCrop>
  <LinksUpToDate>false</LinksUpToDate>
  <CharactersWithSpaces>3939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2023-12-22T07:56:00Z</cp:lastPrinted>
  <dcterms:modified xsi:type="dcterms:W3CDTF">2026-01-08T00:48:33Z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046B49FB33294355818C7F9C3D34C27E_13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